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C2" w:rsidRPr="002D484B" w:rsidRDefault="00DA69C2" w:rsidP="0017676C">
      <w:pPr>
        <w:jc w:val="both"/>
        <w:rPr>
          <w:rFonts w:asciiTheme="minorHAnsi" w:hAnsiTheme="minorHAnsi" w:cstheme="minorHAnsi"/>
          <w:b/>
          <w:lang w:val="en-GB"/>
        </w:rPr>
      </w:pPr>
      <w:r w:rsidRPr="002D484B">
        <w:rPr>
          <w:rFonts w:asciiTheme="minorHAnsi" w:hAnsiTheme="minorHAnsi" w:cstheme="minorHAnsi"/>
          <w:b/>
          <w:lang w:val="en-GB"/>
        </w:rPr>
        <w:t>ITM Industry Europe –</w:t>
      </w:r>
      <w:r w:rsidR="002D484B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2D484B">
        <w:rPr>
          <w:rFonts w:asciiTheme="minorHAnsi" w:hAnsiTheme="minorHAnsi" w:cstheme="minorHAnsi"/>
          <w:b/>
          <w:lang w:val="en-GB"/>
        </w:rPr>
        <w:t>targi</w:t>
      </w:r>
      <w:proofErr w:type="spellEnd"/>
      <w:r w:rsidRPr="002D484B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2D484B">
        <w:rPr>
          <w:rFonts w:asciiTheme="minorHAnsi" w:hAnsiTheme="minorHAnsi" w:cstheme="minorHAnsi"/>
          <w:b/>
          <w:lang w:val="en-GB"/>
        </w:rPr>
        <w:t>ery</w:t>
      </w:r>
      <w:proofErr w:type="spellEnd"/>
      <w:r w:rsidRPr="002D484B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2D484B">
        <w:rPr>
          <w:rFonts w:asciiTheme="minorHAnsi" w:hAnsiTheme="minorHAnsi" w:cstheme="minorHAnsi"/>
          <w:b/>
          <w:lang w:val="en-GB"/>
        </w:rPr>
        <w:t>cyfrowej</w:t>
      </w:r>
      <w:proofErr w:type="spellEnd"/>
      <w:r w:rsidRPr="002D484B">
        <w:rPr>
          <w:rFonts w:asciiTheme="minorHAnsi" w:hAnsiTheme="minorHAnsi" w:cstheme="minorHAnsi"/>
          <w:b/>
          <w:lang w:val="en-GB"/>
        </w:rPr>
        <w:t xml:space="preserve"> </w:t>
      </w:r>
    </w:p>
    <w:p w:rsidR="00DA69C2" w:rsidRDefault="00DA69C2" w:rsidP="0017676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Silnej pozycji w branży przemysłowej nie buduje się szybko. To lata ciężkiej pracy opartej na wnikliwych analizach rynku, biznesowych relacjach i zaufaniu. Grupa MTP organizując od kilku dekad targi przemysłowe, stworzyła w Poznaniu centrum światowych trendów tego sektora. W 2020 r. wydarzenie odbędzie się po raz dziewięćdziesiąty drugi. Przemysł ery cyfrowej</w:t>
      </w:r>
      <w:r w:rsidR="002D484B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to</w:t>
      </w:r>
      <w:r w:rsidR="002D484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hasło towarzyszące najbliższej edycji targów ITM </w:t>
      </w:r>
      <w:proofErr w:type="spellStart"/>
      <w:r>
        <w:rPr>
          <w:rFonts w:asciiTheme="minorHAnsi" w:hAnsiTheme="minorHAnsi" w:cstheme="minorHAnsi"/>
          <w:b/>
        </w:rPr>
        <w:t>Industry</w:t>
      </w:r>
      <w:proofErr w:type="spellEnd"/>
      <w:r>
        <w:rPr>
          <w:rFonts w:asciiTheme="minorHAnsi" w:hAnsiTheme="minorHAnsi" w:cstheme="minorHAnsi"/>
          <w:b/>
        </w:rPr>
        <w:t xml:space="preserve"> Europe. </w:t>
      </w:r>
    </w:p>
    <w:p w:rsidR="00DA69C2" w:rsidRDefault="00DA69C2" w:rsidP="0017676C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Wieloletnie doświadczenie doceniają partnerzy. W 2019 r. podczas targów ITM </w:t>
      </w:r>
      <w:proofErr w:type="spellStart"/>
      <w:r>
        <w:rPr>
          <w:rFonts w:asciiTheme="minorHAnsi" w:hAnsiTheme="minorHAnsi" w:cstheme="minorHAnsi"/>
        </w:rPr>
        <w:t>Industry</w:t>
      </w:r>
      <w:proofErr w:type="spellEnd"/>
      <w:r>
        <w:rPr>
          <w:rFonts w:asciiTheme="minorHAnsi" w:hAnsiTheme="minorHAnsi" w:cstheme="minorHAnsi"/>
        </w:rPr>
        <w:t xml:space="preserve"> Europe swoją ofertę prezentowało blisko </w:t>
      </w:r>
      <w:r>
        <w:rPr>
          <w:rFonts w:asciiTheme="minorHAnsi" w:hAnsiTheme="minorHAnsi" w:cstheme="minorHAnsi"/>
          <w:b/>
          <w:bCs/>
        </w:rPr>
        <w:t xml:space="preserve">1000 </w:t>
      </w:r>
      <w:r w:rsidR="00D83EA8">
        <w:rPr>
          <w:rFonts w:asciiTheme="minorHAnsi" w:hAnsiTheme="minorHAnsi" w:cstheme="minorHAnsi"/>
        </w:rPr>
        <w:t>wystawców z 26</w:t>
      </w:r>
      <w:r>
        <w:rPr>
          <w:rFonts w:asciiTheme="minorHAnsi" w:hAnsiTheme="minorHAnsi" w:cstheme="minorHAnsi"/>
        </w:rPr>
        <w:t xml:space="preserve"> krajów. </w:t>
      </w:r>
      <w:r>
        <w:rPr>
          <w:rFonts w:asciiTheme="minorHAnsi" w:hAnsiTheme="minorHAnsi" w:cstheme="minorHAnsi"/>
          <w:shd w:val="clear" w:color="auto" w:fill="FFFFFF"/>
        </w:rPr>
        <w:t xml:space="preserve">Efektownie zaaranżowane stoiska zajęły aż </w:t>
      </w:r>
      <w:r>
        <w:rPr>
          <w:rFonts w:asciiTheme="minorHAnsi" w:hAnsiTheme="minorHAnsi" w:cstheme="minorHAnsi"/>
          <w:b/>
          <w:bCs/>
          <w:shd w:val="clear" w:color="auto" w:fill="FFFFFF"/>
        </w:rPr>
        <w:t>26.500 m2</w:t>
      </w:r>
      <w:r>
        <w:rPr>
          <w:rFonts w:asciiTheme="minorHAnsi" w:hAnsiTheme="minorHAnsi" w:cstheme="minorHAnsi"/>
          <w:shd w:val="clear" w:color="auto" w:fill="FFFFFF"/>
        </w:rPr>
        <w:t xml:space="preserve">. Nowoczesne maszyny, roboty i specjalistyczne urządzenia przyciągnęły do Poznania </w:t>
      </w:r>
      <w:r>
        <w:rPr>
          <w:rFonts w:asciiTheme="minorHAnsi" w:hAnsiTheme="minorHAnsi" w:cstheme="minorHAnsi"/>
          <w:b/>
          <w:bCs/>
          <w:lang w:eastAsia="pl-PL"/>
        </w:rPr>
        <w:t>18.573</w:t>
      </w:r>
      <w:r>
        <w:rPr>
          <w:rFonts w:asciiTheme="minorHAnsi" w:hAnsiTheme="minorHAnsi" w:cstheme="minorHAnsi"/>
          <w:lang w:eastAsia="pl-PL"/>
        </w:rPr>
        <w:t xml:space="preserve"> zwiedzających profesjonalistów. </w:t>
      </w:r>
    </w:p>
    <w:p w:rsidR="00DA69C2" w:rsidRDefault="00DA69C2" w:rsidP="0017676C">
      <w:pPr>
        <w:jc w:val="both"/>
        <w:rPr>
          <w:rFonts w:asciiTheme="minorHAnsi" w:hAnsiTheme="minorHAnsi" w:cstheme="minorHAnsi"/>
          <w:lang w:eastAsia="pl-PL"/>
        </w:rPr>
      </w:pPr>
    </w:p>
    <w:p w:rsidR="00DA69C2" w:rsidRDefault="00DA69C2" w:rsidP="0017676C">
      <w:pPr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Siła targów ITM</w:t>
      </w:r>
    </w:p>
    <w:p w:rsidR="00DA69C2" w:rsidRDefault="00DA69C2" w:rsidP="0017676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Te imponujące liczby nie pozostawiają wątpliwości. </w:t>
      </w:r>
      <w:r>
        <w:rPr>
          <w:rFonts w:asciiTheme="minorHAnsi" w:hAnsiTheme="minorHAnsi" w:cstheme="minorHAnsi"/>
        </w:rPr>
        <w:t xml:space="preserve">ITM </w:t>
      </w:r>
      <w:proofErr w:type="spellStart"/>
      <w:r>
        <w:rPr>
          <w:rFonts w:asciiTheme="minorHAnsi" w:hAnsiTheme="minorHAnsi" w:cstheme="minorHAnsi"/>
        </w:rPr>
        <w:t>Industry</w:t>
      </w:r>
      <w:proofErr w:type="spellEnd"/>
      <w:r>
        <w:rPr>
          <w:rFonts w:asciiTheme="minorHAnsi" w:hAnsiTheme="minorHAnsi" w:cstheme="minorHAnsi"/>
        </w:rPr>
        <w:t xml:space="preserve"> Europe to największe i najbardziej znaczące wydarzenie branży przemysłowej w tej części Europy. </w:t>
      </w:r>
    </w:p>
    <w:p w:rsidR="00DA69C2" w:rsidRDefault="00D5251E" w:rsidP="0017676C">
      <w:pPr>
        <w:jc w:val="both"/>
        <w:rPr>
          <w:rFonts w:asciiTheme="minorHAnsi" w:hAnsiTheme="minorHAnsi" w:cstheme="minorHAnsi"/>
        </w:rPr>
      </w:pPr>
      <w:r w:rsidRPr="00D5251E">
        <w:rPr>
          <w:rFonts w:asciiTheme="minorHAnsi" w:hAnsiTheme="minorHAnsi" w:cstheme="minorHAnsi"/>
        </w:rPr>
        <w:t xml:space="preserve">– </w:t>
      </w:r>
      <w:r w:rsidR="00DA69C2" w:rsidRPr="00D5251E">
        <w:rPr>
          <w:rFonts w:asciiTheme="minorHAnsi" w:hAnsiTheme="minorHAnsi" w:cstheme="minorHAnsi"/>
        </w:rPr>
        <w:t>Targi tworzą nie tylko bogate ekspozycje liderów branży, ale także liczne konferencje, debaty i</w:t>
      </w:r>
      <w:r w:rsidR="00DA69C2">
        <w:rPr>
          <w:rFonts w:asciiTheme="minorHAnsi" w:hAnsiTheme="minorHAnsi" w:cstheme="minorHAnsi"/>
        </w:rPr>
        <w:t xml:space="preserve"> szkolenia. Czterodniowy program ITM </w:t>
      </w:r>
      <w:proofErr w:type="spellStart"/>
      <w:r w:rsidR="00DA69C2">
        <w:rPr>
          <w:rFonts w:asciiTheme="minorHAnsi" w:hAnsiTheme="minorHAnsi" w:cstheme="minorHAnsi"/>
        </w:rPr>
        <w:t>Industry</w:t>
      </w:r>
      <w:proofErr w:type="spellEnd"/>
      <w:r w:rsidR="00DA69C2">
        <w:rPr>
          <w:rFonts w:asciiTheme="minorHAnsi" w:hAnsiTheme="minorHAnsi" w:cstheme="minorHAnsi"/>
        </w:rPr>
        <w:t xml:space="preserve"> Europe co roku budowany jest na wiedzy doświadczonych ekspertów oraz wspierany przez kluczowe stowarzyszenia  i instytucje branży przemysłowej. </w:t>
      </w:r>
      <w:r w:rsidR="00D83EA8">
        <w:rPr>
          <w:rFonts w:asciiTheme="minorHAnsi" w:hAnsiTheme="minorHAnsi" w:cstheme="minorHAnsi"/>
        </w:rPr>
        <w:t>Mamy świadomość, że targi ITM nie mogłyb</w:t>
      </w:r>
      <w:r w:rsidR="00DA69C2" w:rsidRPr="00D5251E">
        <w:rPr>
          <w:rFonts w:asciiTheme="minorHAnsi" w:hAnsiTheme="minorHAnsi" w:cstheme="minorHAnsi"/>
        </w:rPr>
        <w:t xml:space="preserve">y istnieć bez naszych wystawców. To oni są dla nas największą inspiracją i motywacją. Bez tej współpracy ITM byłyby dzisiaj w zupełnie innym miejscu. Dzięki temu wsparciu </w:t>
      </w:r>
      <w:r w:rsidR="00D83EA8">
        <w:rPr>
          <w:rFonts w:asciiTheme="minorHAnsi" w:hAnsiTheme="minorHAnsi" w:cstheme="minorHAnsi"/>
        </w:rPr>
        <w:t xml:space="preserve">stale się rozwijamy i </w:t>
      </w:r>
      <w:r w:rsidR="00DA69C2" w:rsidRPr="00D5251E">
        <w:rPr>
          <w:rFonts w:asciiTheme="minorHAnsi" w:hAnsiTheme="minorHAnsi" w:cstheme="minorHAnsi"/>
        </w:rPr>
        <w:t xml:space="preserve">możemy z dumą organizować największe targi przemysłowe w Europie Środkowo-Wschodniej. </w:t>
      </w:r>
      <w:r w:rsidR="008A55D3" w:rsidRPr="00D5251E">
        <w:rPr>
          <w:rFonts w:asciiTheme="minorHAnsi" w:hAnsiTheme="minorHAnsi" w:cstheme="minorHAnsi"/>
        </w:rPr>
        <w:t xml:space="preserve">Stoją za nami fakty </w:t>
      </w:r>
      <w:r w:rsidR="00DA69C2" w:rsidRPr="00D5251E">
        <w:rPr>
          <w:rFonts w:asciiTheme="minorHAnsi" w:hAnsiTheme="minorHAnsi" w:cstheme="minorHAnsi"/>
        </w:rPr>
        <w:t>a nie tylko puste slogany reklamowe bez pokrycia w statystykach</w:t>
      </w:r>
      <w:r w:rsidR="00DA69C2">
        <w:rPr>
          <w:rFonts w:asciiTheme="minorHAnsi" w:hAnsiTheme="minorHAnsi" w:cstheme="minorHAnsi"/>
        </w:rPr>
        <w:t xml:space="preserve"> – mówi Anna Lemańska, pełniąca od czerwca tego roku funkcję dyrektora targów ITM </w:t>
      </w:r>
      <w:proofErr w:type="spellStart"/>
      <w:r w:rsidR="00DA69C2">
        <w:rPr>
          <w:rFonts w:asciiTheme="minorHAnsi" w:hAnsiTheme="minorHAnsi" w:cstheme="minorHAnsi"/>
        </w:rPr>
        <w:t>Industry</w:t>
      </w:r>
      <w:proofErr w:type="spellEnd"/>
      <w:r w:rsidR="00DA69C2">
        <w:rPr>
          <w:rFonts w:asciiTheme="minorHAnsi" w:hAnsiTheme="minorHAnsi" w:cstheme="minorHAnsi"/>
        </w:rPr>
        <w:t xml:space="preserve"> Europe.</w:t>
      </w:r>
    </w:p>
    <w:p w:rsidR="00DA69C2" w:rsidRDefault="00DA69C2" w:rsidP="0017676C">
      <w:pPr>
        <w:jc w:val="both"/>
        <w:rPr>
          <w:rFonts w:asciiTheme="minorHAnsi" w:hAnsiTheme="minorHAnsi" w:cstheme="minorHAnsi"/>
        </w:rPr>
      </w:pPr>
    </w:p>
    <w:p w:rsidR="00DA69C2" w:rsidRDefault="00DA69C2" w:rsidP="0017676C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Najbliższej edycji targów ITM </w:t>
      </w:r>
      <w:proofErr w:type="spellStart"/>
      <w:r>
        <w:rPr>
          <w:rFonts w:asciiTheme="minorHAnsi" w:hAnsiTheme="minorHAnsi" w:cstheme="minorHAnsi"/>
        </w:rPr>
        <w:t>Industry</w:t>
      </w:r>
      <w:proofErr w:type="spellEnd"/>
      <w:r>
        <w:rPr>
          <w:rFonts w:asciiTheme="minorHAnsi" w:hAnsiTheme="minorHAnsi" w:cstheme="minorHAnsi"/>
        </w:rPr>
        <w:t xml:space="preserve"> Europe towarzyszy hasło: Przemysł ery cyfrowej. </w:t>
      </w:r>
      <w:r>
        <w:rPr>
          <w:rFonts w:asciiTheme="minorHAnsi" w:hAnsiTheme="minorHAnsi" w:cstheme="minorHAnsi"/>
          <w:shd w:val="clear" w:color="auto" w:fill="FFFFFF"/>
        </w:rPr>
        <w:t xml:space="preserve">Cyfryzacja przemysłu zakłada stosowanie nowoczesnych technologii informatycznych (ICT) w całym procesie wytwórczym – od projektowania, poprzez produkcję i eksploatację, kończąc na utylizacji i ponownym przetwarzaniu. </w:t>
      </w:r>
    </w:p>
    <w:p w:rsidR="00DA69C2" w:rsidRDefault="00DA69C2" w:rsidP="0017676C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DA69C2" w:rsidRDefault="00DA69C2" w:rsidP="0017676C">
      <w:pPr>
        <w:jc w:val="both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Cyfryzacja kluczem do sukcesu</w:t>
      </w:r>
    </w:p>
    <w:p w:rsidR="00DA69C2" w:rsidRDefault="00DA69C2" w:rsidP="0017676C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Powstające nowe modele biznesowe, nowe formy współpracy i głęboka digitalizacja produktów i usług powoduje, że zrozumienie tych zmian i wdrożenie skutecznych strategii staje się kluczem do sukcesu przedsiębiorstw.</w:t>
      </w:r>
    </w:p>
    <w:p w:rsidR="00DA69C2" w:rsidRDefault="00D5251E" w:rsidP="0017676C">
      <w:pPr>
        <w:jc w:val="both"/>
        <w:rPr>
          <w:rFonts w:asciiTheme="minorHAnsi" w:hAnsiTheme="minorHAnsi" w:cstheme="minorHAnsi"/>
          <w:shd w:val="clear" w:color="auto" w:fill="FFFFFF"/>
        </w:rPr>
      </w:pPr>
      <w:r w:rsidRPr="00D5251E">
        <w:rPr>
          <w:rFonts w:asciiTheme="minorHAnsi" w:hAnsiTheme="minorHAnsi" w:cstheme="minorHAnsi"/>
        </w:rPr>
        <w:t xml:space="preserve">– </w:t>
      </w:r>
      <w:r w:rsidR="00DA69C2">
        <w:rPr>
          <w:rFonts w:asciiTheme="minorHAnsi" w:hAnsiTheme="minorHAnsi" w:cstheme="minorHAnsi"/>
        </w:rPr>
        <w:t xml:space="preserve">Nadal w Polsce </w:t>
      </w:r>
      <w:r w:rsidR="00DA69C2">
        <w:rPr>
          <w:rFonts w:asciiTheme="minorHAnsi" w:hAnsiTheme="minorHAnsi" w:cstheme="minorHAnsi"/>
          <w:shd w:val="clear" w:color="auto" w:fill="FFFFFF"/>
        </w:rPr>
        <w:t xml:space="preserve">przemysł – rozumiany jako produkcja – nie jest </w:t>
      </w:r>
      <w:proofErr w:type="spellStart"/>
      <w:r w:rsidR="00DA69C2">
        <w:rPr>
          <w:rFonts w:asciiTheme="minorHAnsi" w:hAnsiTheme="minorHAnsi" w:cstheme="minorHAnsi"/>
          <w:shd w:val="clear" w:color="auto" w:fill="FFFFFF"/>
        </w:rPr>
        <w:t>ucyfrowiony</w:t>
      </w:r>
      <w:proofErr w:type="spellEnd"/>
      <w:r w:rsidR="00DA69C2">
        <w:rPr>
          <w:rFonts w:asciiTheme="minorHAnsi" w:hAnsiTheme="minorHAnsi" w:cstheme="minorHAnsi"/>
          <w:shd w:val="clear" w:color="auto" w:fill="FFFFFF"/>
        </w:rPr>
        <w:t xml:space="preserve"> w tak wysokim stopniu jak chociażby branża usług. Tam automatyzacja jest prawdopodobnie dużo bardziej rozwinięta i dojrzała niż robotyzacja mechaniczna w przemyśle. Problem w tym, że przemysł bez ucyfrowienia i </w:t>
      </w:r>
      <w:r w:rsidR="00DA69C2">
        <w:rPr>
          <w:rStyle w:val="Pogrubienie"/>
          <w:rFonts w:asciiTheme="minorHAnsi" w:hAnsiTheme="minorHAnsi" w:cstheme="minorHAnsi"/>
          <w:b w:val="0"/>
          <w:shd w:val="clear" w:color="auto" w:fill="FFFFFF"/>
        </w:rPr>
        <w:t>robotyzacji procesów</w:t>
      </w:r>
      <w:r w:rsidR="00DA69C2">
        <w:rPr>
          <w:rStyle w:val="Pogrubienie"/>
          <w:rFonts w:asciiTheme="minorHAnsi" w:hAnsiTheme="minorHAnsi" w:cstheme="minorHAnsi"/>
          <w:shd w:val="clear" w:color="auto" w:fill="FFFFFF"/>
        </w:rPr>
        <w:t xml:space="preserve"> </w:t>
      </w:r>
      <w:r w:rsidR="00DA69C2">
        <w:rPr>
          <w:rFonts w:asciiTheme="minorHAnsi" w:hAnsiTheme="minorHAnsi" w:cstheme="minorHAnsi"/>
          <w:shd w:val="clear" w:color="auto" w:fill="FFFFFF"/>
        </w:rPr>
        <w:t>przestaje być konkurencyjny, ponieważ rosną koszty operacyjne. Dlatego cyfryzacja w przemyśle to przyszłość. Obserwujemy ten trend. Patrząc na potenta</w:t>
      </w:r>
      <w:r w:rsidR="00E91ECD">
        <w:rPr>
          <w:rFonts w:asciiTheme="minorHAnsi" w:hAnsiTheme="minorHAnsi" w:cstheme="minorHAnsi"/>
          <w:shd w:val="clear" w:color="auto" w:fill="FFFFFF"/>
        </w:rPr>
        <w:t>tów tej branży w krajach wysoko</w:t>
      </w:r>
      <w:r w:rsidR="00DA69C2">
        <w:rPr>
          <w:rFonts w:asciiTheme="minorHAnsi" w:hAnsiTheme="minorHAnsi" w:cstheme="minorHAnsi"/>
          <w:shd w:val="clear" w:color="auto" w:fill="FFFFFF"/>
        </w:rPr>
        <w:t xml:space="preserve">rozwiniętych można zauważyć, że era digitalizacji nadeszła na dobre. Widać intensyfikację działań testujących nowe rozwiązania oparte o technologie cyfrowe. </w:t>
      </w:r>
      <w:r w:rsidR="00DA69C2">
        <w:rPr>
          <w:rFonts w:asciiTheme="minorHAnsi" w:hAnsiTheme="minorHAnsi" w:cstheme="minorHAnsi"/>
        </w:rPr>
        <w:t xml:space="preserve">W najbliższej dekadzie to właśnie cyfryzacja pozostanie głównym czynnikiem zmian społecznych i gospodarczych oraz nośnikiem wartości o rosnącym znaczeniu </w:t>
      </w:r>
      <w:r w:rsidR="00DA69C2">
        <w:rPr>
          <w:rFonts w:asciiTheme="minorHAnsi" w:hAnsiTheme="minorHAnsi" w:cstheme="minorHAnsi"/>
          <w:shd w:val="clear" w:color="auto" w:fill="FFFFFF"/>
        </w:rPr>
        <w:t>– dodaje Anna Lemańska.</w:t>
      </w:r>
    </w:p>
    <w:p w:rsidR="00DA69C2" w:rsidRDefault="00DA69C2" w:rsidP="0017676C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DA69C2" w:rsidRDefault="00DA69C2" w:rsidP="0017676C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Cyfryzacja wywołuje bardzo szybkie zmiany w otoczeniu biznesowym, powodując konieczność dynamicznego i elastycznego reagowania firm w celu utrzymania konkurencyjności na rynku. Cyfrowy biznes rozwija się w sieciowym systemie współpracy, charakteryzując się inną kulturą i sposobem myślenia liderów rynku. </w:t>
      </w:r>
    </w:p>
    <w:p w:rsidR="00DA69C2" w:rsidRDefault="00DA69C2" w:rsidP="0017676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uwagi na duży udział kapitału zagranicznego w polskim przemyśle występuje naturalna tendencja do kopiowania rozwiązań związanych np. z koncepcją Przemysłu 4.0 na wzór gospodarek wysokorozwiniętych.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</w:rPr>
        <w:t xml:space="preserve">Nawet częściowa fragmentaryzacja cyfrowego rynku wyklucza szansę skoku transformacyjnego. </w:t>
      </w:r>
    </w:p>
    <w:p w:rsidR="00D5251E" w:rsidRDefault="00D5251E" w:rsidP="0017676C">
      <w:pPr>
        <w:jc w:val="both"/>
        <w:rPr>
          <w:rFonts w:asciiTheme="minorHAnsi" w:hAnsiTheme="minorHAnsi" w:cstheme="minorHAnsi"/>
          <w:b/>
        </w:rPr>
      </w:pPr>
    </w:p>
    <w:p w:rsidR="00DA69C2" w:rsidRDefault="00DA69C2" w:rsidP="0017676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Gospodarka oparta o dane</w:t>
      </w:r>
    </w:p>
    <w:p w:rsidR="00DA69C2" w:rsidRDefault="00DA69C2" w:rsidP="0017676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hd w:val="clear" w:color="auto" w:fill="FFFFFF"/>
        </w:rPr>
        <w:t xml:space="preserve">Polska gospodarka może odnieść ponadprzeciętne korzyści dzięki zwiększonej produktywności i nowym modelom biznesowym. Najkorzystniejsze jest inwestowanie w gospodarkę opartą o dane – takie wnioski płyną z badania zleconego przez Ministerstwo Cyfryzacji. Jak czytamy na stronie Ministerstwa </w:t>
      </w:r>
      <w:r>
        <w:rPr>
          <w:rFonts w:asciiTheme="minorHAnsi" w:hAnsiTheme="minorHAnsi" w:cstheme="minorHAnsi"/>
          <w:shd w:val="clear" w:color="auto" w:fill="FFFFFF"/>
        </w:rPr>
        <w:t xml:space="preserve">przy odpowiednich regulacjach i inwestycjach w technologie cyfrowe, do 2020 r. wartość rynku danych ma szansę osiągnąć 739 mld euro, co będzie stanowiło 4 proc. PKB Unii Europejskiej. </w:t>
      </w:r>
    </w:p>
    <w:p w:rsidR="00DA69C2" w:rsidRDefault="00DA69C2" w:rsidP="0017676C">
      <w:pPr>
        <w:jc w:val="both"/>
        <w:rPr>
          <w:rStyle w:val="Pogrubienie"/>
          <w:b w:val="0"/>
          <w:shd w:val="clear" w:color="auto" w:fill="FFFFFF"/>
        </w:rPr>
      </w:pPr>
      <w:r>
        <w:rPr>
          <w:rFonts w:asciiTheme="minorHAnsi" w:hAnsiTheme="minorHAnsi" w:cstheme="minorHAnsi"/>
        </w:rPr>
        <w:t xml:space="preserve">Do podobnych konkluzji można dojść zapoznając się z wynikami badań przeprowadzonych w 2018 r. przez </w:t>
      </w:r>
      <w:r>
        <w:rPr>
          <w:rStyle w:val="Pogrubienie"/>
          <w:rFonts w:asciiTheme="minorHAnsi" w:hAnsiTheme="minorHAnsi" w:cstheme="minorHAnsi"/>
          <w:b w:val="0"/>
          <w:shd w:val="clear" w:color="auto" w:fill="FFFFFF"/>
        </w:rPr>
        <w:t xml:space="preserve">firmę analityczną IDC (International Data </w:t>
      </w:r>
      <w:proofErr w:type="spellStart"/>
      <w:r>
        <w:rPr>
          <w:rStyle w:val="Pogrubienie"/>
          <w:rFonts w:asciiTheme="minorHAnsi" w:hAnsiTheme="minorHAnsi" w:cstheme="minorHAnsi"/>
          <w:b w:val="0"/>
          <w:shd w:val="clear" w:color="auto" w:fill="FFFFFF"/>
        </w:rPr>
        <w:t>Corporation</w:t>
      </w:r>
      <w:proofErr w:type="spellEnd"/>
      <w:r>
        <w:rPr>
          <w:rStyle w:val="Pogrubienie"/>
          <w:rFonts w:asciiTheme="minorHAnsi" w:hAnsiTheme="minorHAnsi" w:cstheme="minorHAnsi"/>
          <w:b w:val="0"/>
          <w:shd w:val="clear" w:color="auto" w:fill="FFFFFF"/>
        </w:rPr>
        <w:t>).</w:t>
      </w:r>
    </w:p>
    <w:p w:rsidR="00DA69C2" w:rsidRDefault="00DA69C2" w:rsidP="0017676C">
      <w:pPr>
        <w:jc w:val="both"/>
      </w:pPr>
      <w:r>
        <w:rPr>
          <w:rStyle w:val="Pogrubienie"/>
          <w:rFonts w:asciiTheme="minorHAnsi" w:hAnsiTheme="minorHAnsi" w:cstheme="minorHAnsi"/>
          <w:b w:val="0"/>
          <w:shd w:val="clear" w:color="auto" w:fill="FFFFFF"/>
        </w:rPr>
        <w:t>Według ekspertów analizujących ten raport</w:t>
      </w:r>
      <w:r>
        <w:rPr>
          <w:rFonts w:asciiTheme="minorHAnsi" w:hAnsiTheme="minorHAnsi" w:cstheme="minorHAnsi"/>
          <w:shd w:val="clear" w:color="auto" w:fill="FFFFFF"/>
        </w:rPr>
        <w:t xml:space="preserve"> do 2021 roku cyfrowa gospodarka będzie generowała już co najmniej 50% światowego PKB. Dzięki cyfryzacji i wdrażaniu nowych technologii, możliwe będzie lepsze profilowanie ofert, firmy będą szybciej podejmowały decyzje o wprowadzaniu nowych produktów czy usług na rynek, będą też sprawniej komunikowały się z biznesowymi partnerami i klientami wykorzystując w tym celu wiele kanałów komunikacji.</w:t>
      </w:r>
    </w:p>
    <w:p w:rsidR="00DA69C2" w:rsidRDefault="00DA69C2" w:rsidP="0017676C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Wyniki badania IDC prowadzą do wniosku, że globalne wydatki przedsiębiorstw na usługi chmury obliczeniowej na świecie do 2021 r. wyniosą ponad 530 mld USD</w:t>
      </w:r>
      <w:r w:rsidR="002D6E7A">
        <w:rPr>
          <w:rFonts w:asciiTheme="minorHAnsi" w:hAnsiTheme="minorHAnsi" w:cstheme="minorHAnsi"/>
          <w:shd w:val="clear" w:color="auto" w:fill="FFFFFF"/>
        </w:rPr>
        <w:t>,</w:t>
      </w:r>
      <w:r>
        <w:rPr>
          <w:rFonts w:asciiTheme="minorHAnsi" w:hAnsiTheme="minorHAnsi" w:cstheme="minorHAnsi"/>
          <w:shd w:val="clear" w:color="auto" w:fill="FFFFFF"/>
        </w:rPr>
        <w:t xml:space="preserve"> a 90% przedsiębiorstw będzie korzystać z wielu serwisów i platform w chmurze. Wdrażanie rozwiązań chmurowych nie jest już tylko kwestią oszczędności czy uzyskiwanej dzięki nim elastyczności </w:t>
      </w:r>
      <w:r w:rsidR="002D6E7A" w:rsidRPr="00D5251E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  <w:shd w:val="clear" w:color="auto" w:fill="FFFFFF"/>
        </w:rPr>
        <w:t>stają się one ważnym źródłem innowacji.</w:t>
      </w:r>
    </w:p>
    <w:p w:rsidR="00DA69C2" w:rsidRDefault="00DA69C2" w:rsidP="0017676C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DA69C2" w:rsidRDefault="002D6E7A" w:rsidP="0017676C">
      <w:pPr>
        <w:jc w:val="both"/>
        <w:rPr>
          <w:rFonts w:asciiTheme="minorHAnsi" w:hAnsiTheme="minorHAnsi" w:cstheme="minorHAnsi"/>
          <w:shd w:val="clear" w:color="auto" w:fill="FFFFFF"/>
        </w:rPr>
      </w:pPr>
      <w:r w:rsidRPr="00D5251E">
        <w:rPr>
          <w:rFonts w:asciiTheme="minorHAnsi" w:hAnsiTheme="minorHAnsi" w:cstheme="minorHAnsi"/>
        </w:rPr>
        <w:t xml:space="preserve">– </w:t>
      </w:r>
      <w:r w:rsidR="00DA69C2">
        <w:rPr>
          <w:rFonts w:asciiTheme="minorHAnsi" w:hAnsiTheme="minorHAnsi" w:cstheme="minorHAnsi"/>
        </w:rPr>
        <w:t xml:space="preserve">W przemyśle produkcyjnym czy logistyce, a nawet sposobie funkcjonowania całych miast analiza bardzo dużych zbiorów danych pozwoli przewidywać potrzeby i zachowania użytkowników oszczędzając czas, energię i inne zasoby. Podniesie produktywność, efektywność i elastyczność w sferze produkcyjnej i usługowej. Te tematy są bliskie idei targów ITM </w:t>
      </w:r>
      <w:proofErr w:type="spellStart"/>
      <w:r w:rsidR="00DA69C2">
        <w:rPr>
          <w:rFonts w:asciiTheme="minorHAnsi" w:hAnsiTheme="minorHAnsi" w:cstheme="minorHAnsi"/>
        </w:rPr>
        <w:t>Industry</w:t>
      </w:r>
      <w:proofErr w:type="spellEnd"/>
      <w:r w:rsidR="00DA69C2">
        <w:rPr>
          <w:rFonts w:asciiTheme="minorHAnsi" w:hAnsiTheme="minorHAnsi" w:cstheme="minorHAnsi"/>
        </w:rPr>
        <w:t xml:space="preserve"> Europe. Trwają intensywne prace nad programem tego wydarzenia. Nie zabraknie tematów, które będą szczególnie przydatne praktykom. Zamierzamy również kontynuować sprawdzone koncepcje jak choćby tematyczne ścieżki zwiedzania. </w:t>
      </w:r>
      <w:r w:rsidR="00DA69C2" w:rsidRPr="002D6E7A">
        <w:rPr>
          <w:rFonts w:asciiTheme="minorHAnsi" w:hAnsiTheme="minorHAnsi" w:cstheme="minorHAnsi"/>
        </w:rPr>
        <w:t xml:space="preserve">Mogę </w:t>
      </w:r>
      <w:r w:rsidR="0017676C">
        <w:rPr>
          <w:rFonts w:asciiTheme="minorHAnsi" w:hAnsiTheme="minorHAnsi" w:cstheme="minorHAnsi"/>
        </w:rPr>
        <w:t xml:space="preserve">jednak </w:t>
      </w:r>
      <w:r w:rsidR="00DA69C2" w:rsidRPr="002D6E7A">
        <w:rPr>
          <w:rFonts w:asciiTheme="minorHAnsi" w:hAnsiTheme="minorHAnsi" w:cstheme="minorHAnsi"/>
        </w:rPr>
        <w:t>zapewnić,</w:t>
      </w:r>
      <w:r w:rsidR="00D83EA8">
        <w:rPr>
          <w:rFonts w:asciiTheme="minorHAnsi" w:hAnsiTheme="minorHAnsi" w:cstheme="minorHAnsi"/>
        </w:rPr>
        <w:t xml:space="preserve"> że w tej edycji uczestników czeka także sporo nowości </w:t>
      </w:r>
      <w:r w:rsidR="00DA69C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DA69C2">
        <w:rPr>
          <w:rFonts w:asciiTheme="minorHAnsi" w:hAnsiTheme="minorHAnsi" w:cstheme="minorHAnsi"/>
        </w:rPr>
        <w:t>przekonuje Anna Lemańska.</w:t>
      </w:r>
    </w:p>
    <w:p w:rsidR="00DA69C2" w:rsidRDefault="00DA69C2" w:rsidP="0017676C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DA69C2" w:rsidRDefault="00DA69C2" w:rsidP="0017676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Targi ITM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Industry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Europe odbędą się 2-5 czerwca 2020 na terenie Międzynarodowych Targów Poznańskich. Ekspozycja zostanie podzielona na salony: MACH-TOOL (Salon Obrabiarek i Narzędzi), METALFORUM (Salon Metalurgii, Hutnictwa, Odlewnictwa i Przemysłu Metalowego, Park Odlewnictwa</w:t>
      </w:r>
      <w:r>
        <w:rPr>
          <w:rFonts w:asciiTheme="minorHAnsi" w:hAnsiTheme="minorHAnsi" w:cstheme="minorHAnsi"/>
          <w:sz w:val="22"/>
          <w:szCs w:val="22"/>
        </w:rPr>
        <w:t>), SURFEX (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Salon Technologii Obróbki Powierzchni, Poligon Umiejętności)</w:t>
      </w:r>
      <w:r>
        <w:rPr>
          <w:rFonts w:asciiTheme="minorHAnsi" w:hAnsiTheme="minorHAnsi" w:cstheme="minorHAnsi"/>
          <w:sz w:val="22"/>
          <w:szCs w:val="22"/>
        </w:rPr>
        <w:t>, WELIDING (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Salon Spawania i Cięcia</w:t>
      </w:r>
      <w:r>
        <w:rPr>
          <w:rFonts w:asciiTheme="minorHAnsi" w:hAnsiTheme="minorHAnsi" w:cstheme="minorHAnsi"/>
          <w:sz w:val="22"/>
          <w:szCs w:val="22"/>
        </w:rPr>
        <w:t xml:space="preserve">) oraz salon NAUKA DLA GOSPODARKI. </w:t>
      </w:r>
    </w:p>
    <w:p w:rsidR="002D6E7A" w:rsidRDefault="00DA69C2" w:rsidP="0017676C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Równolegle odwiedzić będzie można targi Logistyki, Magazynow</w:t>
      </w:r>
      <w:r w:rsidR="00D83EA8">
        <w:rPr>
          <w:rFonts w:asciiTheme="minorHAnsi" w:hAnsiTheme="minorHAnsi" w:cstheme="minorHAnsi"/>
          <w:shd w:val="clear" w:color="auto" w:fill="FFFFFF"/>
        </w:rPr>
        <w:t xml:space="preserve">ania i Transportu </w:t>
      </w:r>
      <w:proofErr w:type="spellStart"/>
      <w:r w:rsidR="00D83EA8">
        <w:rPr>
          <w:rFonts w:asciiTheme="minorHAnsi" w:hAnsiTheme="minorHAnsi" w:cstheme="minorHAnsi"/>
          <w:shd w:val="clear" w:color="auto" w:fill="FFFFFF"/>
        </w:rPr>
        <w:t>Modernlog</w:t>
      </w:r>
      <w:proofErr w:type="spellEnd"/>
      <w:r w:rsidR="00D83EA8">
        <w:rPr>
          <w:rFonts w:asciiTheme="minorHAnsi" w:hAnsiTheme="minorHAnsi" w:cstheme="minorHAnsi"/>
          <w:shd w:val="clear" w:color="auto" w:fill="FFFFFF"/>
        </w:rPr>
        <w:t>,</w:t>
      </w:r>
      <w:r>
        <w:rPr>
          <w:rFonts w:asciiTheme="minorHAnsi" w:hAnsiTheme="minorHAnsi" w:cstheme="minorHAnsi"/>
          <w:shd w:val="clear" w:color="auto" w:fill="FFFFFF"/>
        </w:rPr>
        <w:t xml:space="preserve"> 3D Solutions </w:t>
      </w:r>
      <w:r w:rsidR="00D83EA8">
        <w:rPr>
          <w:rFonts w:asciiTheme="minorHAnsi" w:hAnsiTheme="minorHAnsi" w:cstheme="minorHAnsi"/>
          <w:shd w:val="clear" w:color="auto" w:fill="FFFFFF"/>
        </w:rPr>
        <w:t xml:space="preserve">- </w:t>
      </w:r>
      <w:r>
        <w:rPr>
          <w:rFonts w:asciiTheme="minorHAnsi" w:hAnsiTheme="minorHAnsi" w:cstheme="minorHAnsi"/>
          <w:shd w:val="clear" w:color="auto" w:fill="FFFFFF"/>
        </w:rPr>
        <w:t>targ</w:t>
      </w:r>
      <w:r w:rsidR="00D83EA8">
        <w:rPr>
          <w:rFonts w:asciiTheme="minorHAnsi" w:hAnsiTheme="minorHAnsi" w:cstheme="minorHAnsi"/>
          <w:shd w:val="clear" w:color="auto" w:fill="FFFFFF"/>
        </w:rPr>
        <w:t xml:space="preserve">i druku i </w:t>
      </w:r>
      <w:proofErr w:type="spellStart"/>
      <w:r w:rsidR="00D83EA8">
        <w:rPr>
          <w:rFonts w:asciiTheme="minorHAnsi" w:hAnsiTheme="minorHAnsi" w:cstheme="minorHAnsi"/>
          <w:shd w:val="clear" w:color="auto" w:fill="FFFFFF"/>
        </w:rPr>
        <w:t>skanu</w:t>
      </w:r>
      <w:proofErr w:type="spellEnd"/>
      <w:r w:rsidR="00D83EA8">
        <w:rPr>
          <w:rFonts w:asciiTheme="minorHAnsi" w:hAnsiTheme="minorHAnsi" w:cstheme="minorHAnsi"/>
          <w:shd w:val="clear" w:color="auto" w:fill="FFFFFF"/>
        </w:rPr>
        <w:t xml:space="preserve"> 3D oraz </w:t>
      </w:r>
      <w:proofErr w:type="spellStart"/>
      <w:r w:rsidR="00D83EA8">
        <w:rPr>
          <w:rFonts w:asciiTheme="minorHAnsi" w:hAnsiTheme="minorHAnsi" w:cstheme="minorHAnsi"/>
          <w:shd w:val="clear" w:color="auto" w:fill="FFFFFF"/>
        </w:rPr>
        <w:t>Subcontracting</w:t>
      </w:r>
      <w:proofErr w:type="spellEnd"/>
      <w:r w:rsidR="00D83EA8">
        <w:rPr>
          <w:rFonts w:asciiTheme="minorHAnsi" w:hAnsiTheme="minorHAnsi" w:cstheme="minorHAnsi"/>
          <w:shd w:val="clear" w:color="auto" w:fill="FFFFFF"/>
        </w:rPr>
        <w:t xml:space="preserve">. </w:t>
      </w:r>
    </w:p>
    <w:p w:rsidR="00BD61AE" w:rsidRDefault="00BD61AE" w:rsidP="0017676C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Więcej na: </w:t>
      </w:r>
      <w:hyperlink r:id="rId5" w:history="1">
        <w:r w:rsidR="00562FB6" w:rsidRPr="00F93F1D">
          <w:rPr>
            <w:rStyle w:val="Hipercze"/>
            <w:rFonts w:asciiTheme="minorHAnsi" w:hAnsiTheme="minorHAnsi" w:cstheme="minorHAnsi"/>
            <w:shd w:val="clear" w:color="auto" w:fill="FFFFFF"/>
          </w:rPr>
          <w:t>www.itm-europe.pl</w:t>
        </w:r>
      </w:hyperlink>
      <w:bookmarkStart w:id="0" w:name="_GoBack"/>
      <w:bookmarkEnd w:id="0"/>
    </w:p>
    <w:p w:rsidR="00BD61AE" w:rsidRDefault="00BD61AE" w:rsidP="0017676C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DA69C2" w:rsidRDefault="00E91ECD" w:rsidP="00DA69C2">
      <w:r>
        <w:t>Źródła</w:t>
      </w:r>
      <w:r w:rsidR="00DA69C2">
        <w:t>:</w:t>
      </w:r>
    </w:p>
    <w:p w:rsidR="00DA69C2" w:rsidRDefault="00562FB6" w:rsidP="00DA69C2">
      <w:pPr>
        <w:rPr>
          <w:rStyle w:val="Hipercze"/>
        </w:rPr>
      </w:pPr>
      <w:hyperlink r:id="rId6" w:history="1">
        <w:r w:rsidR="00DA69C2">
          <w:rPr>
            <w:rStyle w:val="Hipercze"/>
          </w:rPr>
          <w:t>https://www.gov.pl/</w:t>
        </w:r>
      </w:hyperlink>
    </w:p>
    <w:p w:rsidR="00DA69C2" w:rsidRDefault="00562FB6" w:rsidP="00DA69C2">
      <w:hyperlink r:id="rId7" w:history="1">
        <w:r w:rsidR="00DA69C2">
          <w:rPr>
            <w:rStyle w:val="Hipercze"/>
          </w:rPr>
          <w:t>https://www.idc.com/</w:t>
        </w:r>
      </w:hyperlink>
    </w:p>
    <w:p w:rsidR="004156AA" w:rsidRDefault="004156AA"/>
    <w:sectPr w:rsidR="0041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C2"/>
    <w:rsid w:val="0017676C"/>
    <w:rsid w:val="002D484B"/>
    <w:rsid w:val="002D6E7A"/>
    <w:rsid w:val="004156AA"/>
    <w:rsid w:val="00562FB6"/>
    <w:rsid w:val="008A55D3"/>
    <w:rsid w:val="00BD61AE"/>
    <w:rsid w:val="00CD08EC"/>
    <w:rsid w:val="00D5251E"/>
    <w:rsid w:val="00D83EA8"/>
    <w:rsid w:val="00DA69C2"/>
    <w:rsid w:val="00E91ECD"/>
    <w:rsid w:val="00F1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C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9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69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9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5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5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51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51E"/>
    <w:rPr>
      <w:rFonts w:ascii="Calibri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83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C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9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69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9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5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5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51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51E"/>
    <w:rPr>
      <w:rFonts w:ascii="Calibri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83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dc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web/cyfryzacja/gospodarka-oparta-o-dane-przemysl-" TargetMode="External"/><Relationship Id="rId5" Type="http://schemas.openxmlformats.org/officeDocument/2006/relationships/hyperlink" Target="http://www.itm-europ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Gosiewska</dc:creator>
  <cp:lastModifiedBy>Ewa Gosiewska</cp:lastModifiedBy>
  <cp:revision>6</cp:revision>
  <cp:lastPrinted>2019-07-30T07:50:00Z</cp:lastPrinted>
  <dcterms:created xsi:type="dcterms:W3CDTF">2019-07-30T09:55:00Z</dcterms:created>
  <dcterms:modified xsi:type="dcterms:W3CDTF">2019-08-23T08:59:00Z</dcterms:modified>
</cp:coreProperties>
</file>